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E816" w14:textId="271FCA81" w:rsidR="005E14C7" w:rsidRPr="00382C81" w:rsidRDefault="005E14C7" w:rsidP="00382C81">
      <w:pPr>
        <w:spacing w:line="360" w:lineRule="auto"/>
        <w:jc w:val="center"/>
        <w:rPr>
          <w:rFonts w:ascii="Bookman Old Style" w:hAnsi="Bookman Old Style"/>
        </w:rPr>
      </w:pPr>
      <w:r w:rsidRPr="00382C81">
        <w:rPr>
          <w:rFonts w:ascii="Bookman Old Style" w:eastAsia="Helvetica" w:hAnsi="Bookman Old Style"/>
          <w:noProof/>
          <w:lang w:eastAsia="it-IT"/>
        </w:rPr>
        <w:drawing>
          <wp:inline distT="0" distB="0" distL="0" distR="0" wp14:anchorId="6810746B" wp14:editId="5A4F1685">
            <wp:extent cx="542925" cy="771525"/>
            <wp:effectExtent l="19050" t="0" r="9525" b="0"/>
            <wp:docPr id="1" name="Immagine 1" descr="logo a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n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8BFED" w14:textId="77777777" w:rsidR="00382C81" w:rsidRDefault="00382C81" w:rsidP="00382C81">
      <w:pPr>
        <w:spacing w:line="360" w:lineRule="auto"/>
        <w:rPr>
          <w:rFonts w:ascii="Bookman Old Style" w:hAnsi="Bookman Old Style"/>
        </w:rPr>
      </w:pPr>
    </w:p>
    <w:p w14:paraId="518EF81E" w14:textId="73A7B180" w:rsidR="005E14C7" w:rsidRPr="00382C81" w:rsidRDefault="005E14C7" w:rsidP="00382C81">
      <w:pPr>
        <w:spacing w:line="360" w:lineRule="auto"/>
        <w:rPr>
          <w:rFonts w:ascii="Bookman Old Style" w:hAnsi="Bookman Old Style"/>
          <w:b/>
          <w:bCs/>
          <w:color w:val="002060"/>
        </w:rPr>
      </w:pPr>
      <w:r w:rsidRPr="00382C81">
        <w:rPr>
          <w:rFonts w:ascii="Bookman Old Style" w:hAnsi="Bookman Old Style"/>
          <w:b/>
          <w:bCs/>
          <w:color w:val="002060"/>
        </w:rPr>
        <w:t>Roma, 2 gennaio 2023</w:t>
      </w:r>
    </w:p>
    <w:p w14:paraId="07226234" w14:textId="2ED1417B" w:rsidR="005E14C7" w:rsidRPr="00382C81" w:rsidRDefault="005E14C7" w:rsidP="0042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ookman Old Style" w:hAnsi="Bookman Old Style"/>
          <w:b/>
          <w:bCs/>
          <w:color w:val="002060"/>
        </w:rPr>
      </w:pPr>
      <w:r w:rsidRPr="00382C81">
        <w:rPr>
          <w:rFonts w:ascii="Bookman Old Style" w:hAnsi="Bookman Old Style"/>
          <w:b/>
          <w:bCs/>
          <w:color w:val="002060"/>
        </w:rPr>
        <w:t>Oggetto: Fondo per l’avvio delle opere indifferibili, annualità 2023. Articolo 1, commi da 369 a 379 della legge n. 197 del 29 dicembre 2022 (legge di bilancio per il 2023)</w:t>
      </w:r>
    </w:p>
    <w:p w14:paraId="567A4E3E" w14:textId="77777777" w:rsidR="00382C81" w:rsidRDefault="00382C81" w:rsidP="00382C81">
      <w:pPr>
        <w:spacing w:line="360" w:lineRule="auto"/>
        <w:jc w:val="both"/>
        <w:rPr>
          <w:rFonts w:ascii="Bookman Old Style" w:hAnsi="Bookman Old Style"/>
        </w:rPr>
      </w:pPr>
    </w:p>
    <w:p w14:paraId="520B5DF9" w14:textId="2CC9D843" w:rsidR="005E14C7" w:rsidRPr="00382C81" w:rsidRDefault="005E14C7" w:rsidP="00382C81">
      <w:pPr>
        <w:spacing w:line="360" w:lineRule="auto"/>
        <w:jc w:val="both"/>
        <w:rPr>
          <w:rFonts w:ascii="Bookman Old Style" w:hAnsi="Bookman Old Style"/>
          <w:strike/>
          <w:color w:val="000000"/>
        </w:rPr>
      </w:pPr>
      <w:r w:rsidRPr="00382C81">
        <w:rPr>
          <w:rFonts w:ascii="Bookman Old Style" w:hAnsi="Bookman Old Style"/>
        </w:rPr>
        <w:t xml:space="preserve">Al fine di fornire un’informativa tempestiva in merito all’oggetto, si rende noto che con l’approvazione della legge di bilancio (articolo 1 commi da 369 a 379), è stato rifinanziato il Fondo del Ministero dell’Economia e Finanze per l’avvio delle opere indifferibili  ( </w:t>
      </w:r>
      <w:r w:rsidRPr="00382C81">
        <w:rPr>
          <w:rFonts w:ascii="Bookman Old Style" w:hAnsi="Bookman Old Style"/>
          <w:b/>
          <w:bCs/>
          <w:color w:val="000000"/>
        </w:rPr>
        <w:t xml:space="preserve">500 milioni di euro per il 2023, di </w:t>
      </w:r>
      <w:r w:rsidRPr="00382C81">
        <w:rPr>
          <w:rFonts w:ascii="Bookman Old Style" w:hAnsi="Bookman Old Style"/>
          <w:b/>
          <w:bCs/>
        </w:rPr>
        <w:t>1 miliardo</w:t>
      </w:r>
      <w:r w:rsidRPr="00382C81">
        <w:rPr>
          <w:rFonts w:ascii="Bookman Old Style" w:hAnsi="Bookman Old Style"/>
          <w:b/>
          <w:bCs/>
          <w:color w:val="000000"/>
        </w:rPr>
        <w:t xml:space="preserve"> di euro per il 2024, 2 mili</w:t>
      </w:r>
      <w:r w:rsidRPr="00382C81">
        <w:rPr>
          <w:rFonts w:ascii="Bookman Old Style" w:hAnsi="Bookman Old Style"/>
          <w:b/>
          <w:bCs/>
        </w:rPr>
        <w:t>ardi</w:t>
      </w:r>
      <w:r w:rsidRPr="00382C81">
        <w:rPr>
          <w:rFonts w:ascii="Bookman Old Style" w:hAnsi="Bookman Old Style"/>
          <w:b/>
          <w:bCs/>
          <w:color w:val="000000"/>
        </w:rPr>
        <w:t xml:space="preserve"> di euro per l’anno 2025, 3</w:t>
      </w:r>
      <w:r w:rsidRPr="00382C81">
        <w:rPr>
          <w:rFonts w:ascii="Bookman Old Style" w:hAnsi="Bookman Old Style"/>
          <w:b/>
          <w:bCs/>
        </w:rPr>
        <w:t xml:space="preserve"> miliardi di euro</w:t>
      </w:r>
      <w:r w:rsidRPr="00382C81">
        <w:rPr>
          <w:rFonts w:ascii="Bookman Old Style" w:hAnsi="Bookman Old Style"/>
          <w:b/>
          <w:bCs/>
          <w:color w:val="000000"/>
        </w:rPr>
        <w:t xml:space="preserve"> per l’anno 2026 e 3</w:t>
      </w:r>
      <w:r w:rsidRPr="00382C81">
        <w:rPr>
          <w:rFonts w:ascii="Bookman Old Style" w:hAnsi="Bookman Old Style"/>
          <w:b/>
          <w:bCs/>
        </w:rPr>
        <w:t>,5 miliardi</w:t>
      </w:r>
      <w:r w:rsidRPr="00382C81">
        <w:rPr>
          <w:rFonts w:ascii="Bookman Old Style" w:hAnsi="Bookman Old Style"/>
          <w:b/>
          <w:bCs/>
          <w:color w:val="000000"/>
        </w:rPr>
        <w:t xml:space="preserve"> per l’anno 2027) al fine di compensare </w:t>
      </w:r>
      <w:r w:rsidRPr="00382C81">
        <w:rPr>
          <w:rFonts w:ascii="Bookman Old Style" w:hAnsi="Bookman Old Style"/>
          <w:color w:val="000000"/>
        </w:rPr>
        <w:t xml:space="preserve"> gli aumenti eccezionali dei prezzi dei materiali da costruzione, nonché dei carburanti e dei prodotti energetici, registrati a seguito dell’aggiornamento, </w:t>
      </w:r>
      <w:r w:rsidRPr="00382C81">
        <w:rPr>
          <w:rFonts w:ascii="Bookman Old Style" w:hAnsi="Bookman Old Style"/>
          <w:b/>
          <w:bCs/>
          <w:color w:val="000000"/>
        </w:rPr>
        <w:t>per l’anno 2023</w:t>
      </w:r>
      <w:r w:rsidRPr="00382C81">
        <w:rPr>
          <w:rFonts w:ascii="Bookman Old Style" w:hAnsi="Bookman Old Style"/>
          <w:color w:val="000000"/>
        </w:rPr>
        <w:t xml:space="preserve">, dei prezzari regionali </w:t>
      </w:r>
      <w:r w:rsidRPr="00382C81">
        <w:rPr>
          <w:rFonts w:ascii="Bookman Old Style" w:hAnsi="Bookman Old Style"/>
        </w:rPr>
        <w:t>(ai sensi de</w:t>
      </w:r>
      <w:r w:rsidRPr="00382C81">
        <w:rPr>
          <w:rFonts w:ascii="Bookman Old Style" w:hAnsi="Bookman Old Style"/>
          <w:color w:val="000000"/>
        </w:rPr>
        <w:t xml:space="preserve">ll'art. 23, comma 16, terzo periodo, del D. Lgs. 50/2016) e </w:t>
      </w:r>
      <w:r w:rsidRPr="00382C81">
        <w:rPr>
          <w:rFonts w:ascii="Bookman Old Style" w:hAnsi="Bookman Old Style"/>
          <w:b/>
          <w:bCs/>
          <w:color w:val="000000"/>
          <w:u w:val="single"/>
        </w:rPr>
        <w:t>in relazione alle procedure di affidamento delle opere pubbliche avviate dal 1° gennaio 2023 al 31 dicembre 2023</w:t>
      </w:r>
      <w:r w:rsidRPr="00382C81">
        <w:rPr>
          <w:rFonts w:ascii="Bookman Old Style" w:hAnsi="Bookman Old Style"/>
          <w:color w:val="000000"/>
        </w:rPr>
        <w:t xml:space="preserve">, anche tramite accordi quadro ovvero affidate a contraente generale. </w:t>
      </w:r>
    </w:p>
    <w:p w14:paraId="19210309" w14:textId="3F6B2B76" w:rsidR="005E14C7" w:rsidRPr="00156153" w:rsidRDefault="005E14C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  <w:u w:val="single"/>
        </w:rPr>
      </w:pPr>
      <w:r w:rsidRPr="00382C81">
        <w:rPr>
          <w:rFonts w:ascii="Bookman Old Style" w:hAnsi="Bookman Old Style"/>
          <w:color w:val="000000"/>
          <w:sz w:val="22"/>
          <w:szCs w:val="22"/>
        </w:rPr>
        <w:t xml:space="preserve">A valere sulle risorse del succitato Fondo,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>agli interventi de</w:t>
      </w:r>
      <w:r w:rsidR="006C00D7" w:rsidRPr="00382C81">
        <w:rPr>
          <w:rFonts w:ascii="Bookman Old Style" w:hAnsi="Bookman Old Style"/>
          <w:b/>
          <w:bCs/>
          <w:color w:val="000000"/>
          <w:sz w:val="22"/>
          <w:szCs w:val="22"/>
        </w:rPr>
        <w:t>i Comuni e delle Città Metropolitane,</w:t>
      </w:r>
      <w:r w:rsidRPr="00382C81">
        <w:rPr>
          <w:rFonts w:ascii="Bookman Old Style" w:hAnsi="Bookman Old Style"/>
          <w:color w:val="000000"/>
          <w:sz w:val="22"/>
          <w:szCs w:val="22"/>
        </w:rPr>
        <w:t xml:space="preserve"> finanziati con risorse previste dal PNRR, nonché dal PNC, è preassegnato, </w:t>
      </w:r>
      <w:r w:rsidRPr="00156153">
        <w:rPr>
          <w:rFonts w:ascii="Bookman Old Style" w:hAnsi="Bookman Old Style"/>
          <w:color w:val="000000"/>
          <w:sz w:val="22"/>
          <w:szCs w:val="22"/>
          <w:u w:val="single"/>
        </w:rPr>
        <w:t>un contributo aggiuntivo pari al 10 per cento dell’importo stabilito nel decreto di assegnazione</w:t>
      </w:r>
      <w:r w:rsidR="00666988" w:rsidRPr="00156153">
        <w:rPr>
          <w:rFonts w:ascii="Bookman Old Style" w:hAnsi="Bookman Old Style"/>
          <w:color w:val="000000"/>
          <w:sz w:val="22"/>
          <w:szCs w:val="22"/>
          <w:u w:val="single"/>
        </w:rPr>
        <w:t>.</w:t>
      </w:r>
      <w:r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 </w:t>
      </w:r>
    </w:p>
    <w:p w14:paraId="2F403C53" w14:textId="77777777" w:rsidR="006C00D7" w:rsidRPr="00382C81" w:rsidRDefault="006C00D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</w:p>
    <w:p w14:paraId="5B13EEC6" w14:textId="0885C29E" w:rsidR="006C00D7" w:rsidRPr="00382C81" w:rsidRDefault="005E14C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82C81">
        <w:rPr>
          <w:rFonts w:ascii="Bookman Old Style" w:hAnsi="Bookman Old Style"/>
          <w:color w:val="000000"/>
          <w:sz w:val="22"/>
          <w:szCs w:val="22"/>
        </w:rPr>
        <w:t xml:space="preserve">A tale preassegnazione </w:t>
      </w:r>
      <w:r w:rsidR="006C00D7" w:rsidRPr="00382C81">
        <w:rPr>
          <w:rFonts w:ascii="Bookman Old Style" w:hAnsi="Bookman Old Style"/>
          <w:color w:val="000000"/>
          <w:sz w:val="22"/>
          <w:szCs w:val="22"/>
        </w:rPr>
        <w:t xml:space="preserve">accedono, su base semestrale, gli enti locali attuatori di misure Pnrr o PNC che </w:t>
      </w:r>
      <w:r w:rsidR="006C00D7" w:rsidRPr="00382C8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avviano le procedure di affidamento delle opere pubbliche </w:t>
      </w:r>
      <w:r w:rsidR="006C00D7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dal 1° gennaio 2023 al 31 dicembre 2023</w:t>
      </w:r>
      <w:r w:rsidRPr="00382C81">
        <w:rPr>
          <w:rFonts w:ascii="Bookman Old Style" w:hAnsi="Bookman Old Style"/>
          <w:color w:val="000000"/>
          <w:sz w:val="22"/>
          <w:szCs w:val="22"/>
        </w:rPr>
        <w:t xml:space="preserve">. </w:t>
      </w:r>
      <w:r w:rsidR="00156153">
        <w:rPr>
          <w:rFonts w:ascii="Bookman Old Style" w:hAnsi="Bookman Old Style"/>
          <w:color w:val="000000"/>
          <w:sz w:val="22"/>
          <w:szCs w:val="22"/>
        </w:rPr>
        <w:t>Si ricorda che per avvio delle procedure</w:t>
      </w:r>
      <w:r w:rsidR="00423608">
        <w:rPr>
          <w:rFonts w:ascii="Bookman Old Style" w:hAnsi="Bookman Old Style"/>
          <w:color w:val="000000"/>
          <w:sz w:val="22"/>
          <w:szCs w:val="22"/>
        </w:rPr>
        <w:t xml:space="preserve"> di affidamento delle opere pubbliche è sufficiente la determina a contrarre con l’approvazione del bando/disciplinare di gara. </w:t>
      </w:r>
    </w:p>
    <w:p w14:paraId="4BFCDE5A" w14:textId="77777777" w:rsidR="006C00D7" w:rsidRPr="00382C81" w:rsidRDefault="006C00D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</w:p>
    <w:p w14:paraId="56883538" w14:textId="77777777" w:rsidR="006C00D7" w:rsidRPr="00382C81" w:rsidRDefault="006C00D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82C81">
        <w:rPr>
          <w:rFonts w:ascii="Bookman Old Style" w:hAnsi="Bookman Old Style"/>
          <w:color w:val="000000"/>
          <w:sz w:val="22"/>
          <w:szCs w:val="22"/>
        </w:rPr>
        <w:t>La procedura prevede che l</w:t>
      </w:r>
      <w:r w:rsidR="005E14C7" w:rsidRPr="00382C81">
        <w:rPr>
          <w:rFonts w:ascii="Bookman Old Style" w:hAnsi="Bookman Old Style"/>
          <w:color w:val="000000"/>
          <w:sz w:val="22"/>
          <w:szCs w:val="22"/>
        </w:rPr>
        <w:t xml:space="preserve">e amministrazioni statali finanziatrici degli interventi o titolari dei relativi programmi di investimento provvedono, </w:t>
      </w:r>
      <w:r w:rsidR="005E14C7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entro e non oltre il 5 gennaio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 p.v.,</w:t>
      </w:r>
      <w:r w:rsidR="005E14C7" w:rsidRPr="00382C81">
        <w:rPr>
          <w:rFonts w:ascii="Bookman Old Style" w:hAnsi="Bookman Old Style"/>
          <w:color w:val="000000"/>
          <w:sz w:val="22"/>
          <w:szCs w:val="22"/>
        </w:rPr>
        <w:t xml:space="preserve"> ad aggiornare i sistemi di monitoraggio della Ragioneria Generale dello Stato completando l’inizializzazione dei progetti oggetto di finanziamento e le attività di profilazione degli utenti. </w:t>
      </w:r>
    </w:p>
    <w:p w14:paraId="7C8252A1" w14:textId="0B7D4ED6" w:rsidR="002938F0" w:rsidRDefault="005E14C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Entro il 10 gennaio 2023 </w:t>
      </w:r>
      <w:r w:rsidR="002938F0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per il primo semestre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ed il 10 giugno 2023</w:t>
      </w:r>
      <w:r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 </w:t>
      </w:r>
      <w:r w:rsidR="002938F0"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per il secondo semestre,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le amministrazioni statali finanziatrici individuano, sulla base dei dati presenti sui </w:t>
      </w:r>
      <w:proofErr w:type="gramStart"/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predetti</w:t>
      </w:r>
      <w:proofErr w:type="gramEnd"/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 sistemi informativi, l’elenco degli enti locali potenzialmente destinatari della preassegnazione, completo dei CUP</w:t>
      </w:r>
      <w:r w:rsidRPr="00382C81">
        <w:rPr>
          <w:rFonts w:ascii="Bookman Old Style" w:hAnsi="Bookman Old Style"/>
          <w:color w:val="000000"/>
          <w:sz w:val="22"/>
          <w:szCs w:val="22"/>
          <w:u w:val="single"/>
        </w:rPr>
        <w:t>.</w:t>
      </w:r>
      <w:r w:rsidRPr="00382C8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82C8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2C81">
        <w:rPr>
          <w:rFonts w:ascii="Bookman Old Style" w:hAnsi="Bookman Old Style"/>
          <w:color w:val="000000"/>
          <w:sz w:val="22"/>
          <w:szCs w:val="22"/>
        </w:rPr>
        <w:t xml:space="preserve">Tale elenco viene pubblicato sul sito internet dell’Amministrazione statale finanziatrice entro il medesimo termine. </w:t>
      </w:r>
    </w:p>
    <w:p w14:paraId="3A86D818" w14:textId="77777777" w:rsidR="00382C81" w:rsidRPr="00382C81" w:rsidRDefault="00382C81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</w:p>
    <w:p w14:paraId="227E2120" w14:textId="0D750AF1" w:rsidR="005E14C7" w:rsidRDefault="005E14C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>Entro i successivi 20 giorni</w:t>
      </w:r>
      <w:r w:rsidR="00382C81">
        <w:rPr>
          <w:rFonts w:ascii="Bookman Old Style" w:hAnsi="Bookman Old Style"/>
          <w:b/>
          <w:bCs/>
          <w:color w:val="000000"/>
          <w:sz w:val="22"/>
          <w:szCs w:val="22"/>
        </w:rPr>
        <w:t>,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proofErr w:type="gramStart"/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>gli</w:t>
      </w:r>
      <w:r w:rsidR="00382C8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>enti</w:t>
      </w:r>
      <w:r w:rsidR="00382C8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>locali</w:t>
      </w:r>
      <w:r w:rsidR="00382C81">
        <w:rPr>
          <w:rFonts w:ascii="Bookman Old Style" w:hAnsi="Bookman Old Style"/>
          <w:b/>
          <w:bCs/>
          <w:color w:val="000000"/>
          <w:sz w:val="22"/>
          <w:szCs w:val="22"/>
        </w:rPr>
        <w:t>,</w:t>
      </w:r>
      <w:proofErr w:type="gramEnd"/>
      <w:r w:rsidRPr="00382C8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accedono all’apposita piattaforma informatica già in uso presso il Dipartimento della RGS al fine di confermare la preassegnazione.</w:t>
      </w:r>
      <w:r w:rsidRPr="00382C81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4A1E0E4B" w14:textId="77777777" w:rsidR="00382C81" w:rsidRPr="00382C81" w:rsidRDefault="00382C81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</w:p>
    <w:p w14:paraId="2262C3FE" w14:textId="0045BAC1" w:rsidR="002938F0" w:rsidRPr="00156153" w:rsidRDefault="002938F0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  <w:u w:val="single"/>
        </w:rPr>
      </w:pPr>
      <w:r w:rsidRPr="00382C81">
        <w:rPr>
          <w:rFonts w:ascii="Bookman Old Style" w:hAnsi="Bookman Old Style"/>
          <w:color w:val="000000"/>
          <w:sz w:val="22"/>
          <w:szCs w:val="22"/>
        </w:rPr>
        <w:t xml:space="preserve">Pertanto, </w:t>
      </w:r>
      <w:r w:rsidR="00666988">
        <w:rPr>
          <w:rFonts w:ascii="Bookman Old Style" w:hAnsi="Bookman Old Style"/>
          <w:color w:val="000000"/>
          <w:sz w:val="22"/>
          <w:szCs w:val="22"/>
        </w:rPr>
        <w:t xml:space="preserve">relativamente al primo semestre, </w:t>
      </w:r>
      <w:r w:rsidR="00AD6CED" w:rsidRPr="00666988">
        <w:rPr>
          <w:rFonts w:ascii="Bookman Old Style" w:hAnsi="Bookman Old Style"/>
          <w:color w:val="000000"/>
          <w:sz w:val="22"/>
          <w:szCs w:val="22"/>
          <w:u w:val="single"/>
        </w:rPr>
        <w:t>si invitano</w:t>
      </w:r>
      <w:r w:rsidR="00AD6CED" w:rsidRPr="00382C8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D6CED"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Comuni e Città Metropolitane, </w:t>
      </w:r>
      <w:r w:rsidR="00AD6CED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a partire dal 10 gennaio p.v</w:t>
      </w:r>
      <w:r w:rsidR="00AD6CED" w:rsidRPr="00382C81">
        <w:rPr>
          <w:rFonts w:ascii="Bookman Old Style" w:hAnsi="Bookman Old Style"/>
          <w:color w:val="000000"/>
          <w:sz w:val="22"/>
          <w:szCs w:val="22"/>
          <w:u w:val="single"/>
        </w:rPr>
        <w:t>.</w:t>
      </w:r>
      <w:r w:rsid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, </w:t>
      </w:r>
      <w:r w:rsidR="00AD6CED" w:rsidRPr="00382C81">
        <w:rPr>
          <w:rFonts w:ascii="Bookman Old Style" w:hAnsi="Bookman Old Style"/>
          <w:color w:val="000000"/>
          <w:sz w:val="22"/>
          <w:szCs w:val="22"/>
          <w:u w:val="single"/>
        </w:rPr>
        <w:t>a con</w:t>
      </w:r>
      <w:r w:rsidR="00666988">
        <w:rPr>
          <w:rFonts w:ascii="Bookman Old Style" w:hAnsi="Bookman Old Style"/>
          <w:color w:val="000000"/>
          <w:sz w:val="22"/>
          <w:szCs w:val="22"/>
          <w:u w:val="single"/>
        </w:rPr>
        <w:t>trollare</w:t>
      </w:r>
      <w:r w:rsidR="00AD6CED"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 gli elenchi pubblicati sui siti internet delle Amministrazioni Statali finanziatrici dei propri interventi</w:t>
      </w:r>
      <w:r w:rsid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 (</w:t>
      </w:r>
      <w:r w:rsidR="00AD6CED" w:rsidRPr="00382C81">
        <w:rPr>
          <w:rFonts w:ascii="Bookman Old Style" w:hAnsi="Bookman Old Style"/>
          <w:color w:val="000000"/>
          <w:sz w:val="22"/>
          <w:szCs w:val="22"/>
          <w:u w:val="single"/>
        </w:rPr>
        <w:t>a valere su risorse Pnrr o PNC</w:t>
      </w:r>
      <w:r w:rsid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 )</w:t>
      </w:r>
      <w:r w:rsidR="00AD6CED"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 </w:t>
      </w:r>
      <w:r w:rsidR="00666988">
        <w:rPr>
          <w:rFonts w:ascii="Bookman Old Style" w:hAnsi="Bookman Old Style"/>
          <w:color w:val="000000"/>
          <w:sz w:val="22"/>
          <w:szCs w:val="22"/>
          <w:u w:val="single"/>
        </w:rPr>
        <w:t>al fine di verificar</w:t>
      </w:r>
      <w:r w:rsidR="00156153">
        <w:rPr>
          <w:rFonts w:ascii="Bookman Old Style" w:hAnsi="Bookman Old Style"/>
          <w:color w:val="000000"/>
          <w:sz w:val="22"/>
          <w:szCs w:val="22"/>
          <w:u w:val="single"/>
        </w:rPr>
        <w:t>n</w:t>
      </w:r>
      <w:r w:rsidR="00666988">
        <w:rPr>
          <w:rFonts w:ascii="Bookman Old Style" w:hAnsi="Bookman Old Style"/>
          <w:color w:val="000000"/>
          <w:sz w:val="22"/>
          <w:szCs w:val="22"/>
          <w:u w:val="single"/>
        </w:rPr>
        <w:t xml:space="preserve">e l’inserimento dell’investimento e relativo CUP di cui sono soggetti attuatori e, </w:t>
      </w:r>
      <w:r w:rsidR="00666988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>nel caso di mancata presenza in elenco, ad attivarsi immediatamente per chiederne un’integrazione</w:t>
      </w:r>
      <w:r w:rsidR="00156153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 xml:space="preserve"> entro il 30 gennaio p.v., termine entro il quale</w:t>
      </w:r>
      <w:r w:rsidR="00AD6CED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>,</w:t>
      </w:r>
      <w:r w:rsidR="00AD6CED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</w:rPr>
        <w:t xml:space="preserve"> </w:t>
      </w:r>
      <w:r w:rsidR="00AD6CED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 xml:space="preserve">attraverso la Piattaforma Regis, </w:t>
      </w:r>
      <w:r w:rsidR="00666988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 xml:space="preserve">occorre confermare </w:t>
      </w:r>
      <w:r w:rsidR="00AD6CED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>la preassegnazione delle risorse</w:t>
      </w:r>
      <w:r w:rsidR="00156153" w:rsidRPr="00156153">
        <w:rPr>
          <w:rFonts w:ascii="Bookman Old Style" w:hAnsi="Bookman Old Style"/>
          <w:b/>
          <w:bCs/>
          <w:i/>
          <w:iCs/>
          <w:color w:val="000000"/>
          <w:sz w:val="22"/>
          <w:szCs w:val="22"/>
          <w:u w:val="single"/>
        </w:rPr>
        <w:t>.</w:t>
      </w:r>
      <w:r w:rsidR="00156153">
        <w:rPr>
          <w:rFonts w:ascii="Bookman Old Style" w:hAnsi="Bookman Old Style"/>
          <w:i/>
          <w:iCs/>
          <w:color w:val="000000"/>
          <w:sz w:val="22"/>
          <w:szCs w:val="22"/>
          <w:u w:val="single"/>
        </w:rPr>
        <w:t xml:space="preserve"> </w:t>
      </w:r>
      <w:r w:rsidR="00156153" w:rsidRPr="00156153">
        <w:rPr>
          <w:rFonts w:ascii="Bookman Old Style" w:hAnsi="Bookman Old Style"/>
          <w:color w:val="000000"/>
          <w:sz w:val="22"/>
          <w:szCs w:val="22"/>
          <w:u w:val="single"/>
        </w:rPr>
        <w:t>Si ricorda che l</w:t>
      </w:r>
      <w:r w:rsidR="00AD6CED" w:rsidRPr="00156153">
        <w:rPr>
          <w:rFonts w:ascii="Bookman Old Style" w:hAnsi="Bookman Old Style"/>
          <w:color w:val="000000"/>
          <w:sz w:val="22"/>
          <w:szCs w:val="22"/>
          <w:u w:val="single"/>
        </w:rPr>
        <w:t>a mancata conferma</w:t>
      </w:r>
      <w:r w:rsidR="00336130">
        <w:rPr>
          <w:rFonts w:ascii="Bookman Old Style" w:hAnsi="Bookman Old Style"/>
          <w:color w:val="000000"/>
          <w:sz w:val="22"/>
          <w:szCs w:val="22"/>
          <w:u w:val="single"/>
        </w:rPr>
        <w:t>,</w:t>
      </w:r>
      <w:r w:rsidR="00AD6CED"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 nel suddetto termine</w:t>
      </w:r>
      <w:r w:rsidR="00336130">
        <w:rPr>
          <w:rFonts w:ascii="Bookman Old Style" w:hAnsi="Bookman Old Style"/>
          <w:color w:val="000000"/>
          <w:sz w:val="22"/>
          <w:szCs w:val="22"/>
          <w:u w:val="single"/>
        </w:rPr>
        <w:t xml:space="preserve">, </w:t>
      </w:r>
      <w:r w:rsidR="00AD6CED"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 equivale a rinuncia alla </w:t>
      </w:r>
      <w:proofErr w:type="spellStart"/>
      <w:r w:rsidR="00AD6CED" w:rsidRPr="00156153">
        <w:rPr>
          <w:rFonts w:ascii="Bookman Old Style" w:hAnsi="Bookman Old Style"/>
          <w:color w:val="000000"/>
          <w:sz w:val="22"/>
          <w:szCs w:val="22"/>
          <w:u w:val="single"/>
        </w:rPr>
        <w:t>pre</w:t>
      </w:r>
      <w:proofErr w:type="spellEnd"/>
      <w:r w:rsidR="00AD6CED" w:rsidRPr="00156153">
        <w:rPr>
          <w:rFonts w:ascii="Bookman Old Style" w:hAnsi="Bookman Old Style"/>
          <w:color w:val="000000"/>
          <w:sz w:val="22"/>
          <w:szCs w:val="22"/>
          <w:u w:val="single"/>
        </w:rPr>
        <w:t>-assegnazione e dà diritto all’accesso al</w:t>
      </w:r>
      <w:r w:rsidR="00B84B57"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 Fondo con una procedura </w:t>
      </w:r>
      <w:r w:rsidR="00AD6CED" w:rsidRPr="00156153">
        <w:rPr>
          <w:rFonts w:ascii="Bookman Old Style" w:hAnsi="Bookman Old Style"/>
          <w:color w:val="000000"/>
          <w:sz w:val="22"/>
          <w:szCs w:val="22"/>
          <w:u w:val="single"/>
        </w:rPr>
        <w:t>ordinaria</w:t>
      </w:r>
      <w:r w:rsidR="00B84B57"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 di cui ai commi 375 e segg</w:t>
      </w:r>
      <w:r w:rsidR="00156153"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. </w:t>
      </w:r>
      <w:r w:rsidR="00666988" w:rsidRPr="00156153">
        <w:rPr>
          <w:rFonts w:ascii="Bookman Old Style" w:hAnsi="Bookman Old Style"/>
          <w:color w:val="000000"/>
          <w:sz w:val="22"/>
          <w:szCs w:val="22"/>
          <w:u w:val="single"/>
        </w:rPr>
        <w:t xml:space="preserve"> </w:t>
      </w:r>
    </w:p>
    <w:p w14:paraId="46C8BC6B" w14:textId="77777777" w:rsidR="00B84B57" w:rsidRPr="00382C81" w:rsidRDefault="00B84B5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i/>
          <w:iCs/>
          <w:sz w:val="22"/>
          <w:szCs w:val="22"/>
        </w:rPr>
      </w:pPr>
    </w:p>
    <w:p w14:paraId="5BC98C95" w14:textId="52FA3DF0" w:rsidR="005E14C7" w:rsidRPr="00382C81" w:rsidRDefault="005E14C7" w:rsidP="00382C81">
      <w:pPr>
        <w:pStyle w:val="provvr01"/>
        <w:shd w:val="clear" w:color="auto" w:fill="FFFFFF"/>
        <w:spacing w:before="0" w:beforeAutospacing="0" w:after="0"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82C81">
        <w:rPr>
          <w:rFonts w:ascii="Bookman Old Style" w:hAnsi="Bookman Old Style"/>
          <w:color w:val="000000"/>
          <w:sz w:val="22"/>
          <w:szCs w:val="22"/>
        </w:rPr>
        <w:t xml:space="preserve">Con decreto del Ragioniere generale dello Stato, </w:t>
      </w:r>
      <w:r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da adottare rispettivamente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entro il 15 febbraio 2023</w:t>
      </w:r>
      <w:r w:rsidR="00B84B57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="00B84B57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( per</w:t>
      </w:r>
      <w:proofErr w:type="gramEnd"/>
      <w:r w:rsidR="00B84B57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 il primo semestre) </w:t>
      </w:r>
      <w:r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 e il 15 luglio 202</w:t>
      </w:r>
      <w:r w:rsidR="00B84B57" w:rsidRPr="00382C81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 xml:space="preserve">3 ( per il secondo semestre) </w:t>
      </w:r>
      <w:r w:rsidRPr="00382C81">
        <w:rPr>
          <w:rFonts w:ascii="Bookman Old Style" w:hAnsi="Bookman Old Style"/>
          <w:color w:val="000000"/>
          <w:sz w:val="22"/>
          <w:szCs w:val="22"/>
          <w:u w:val="single"/>
        </w:rPr>
        <w:t xml:space="preserve"> è approvato l’elenco degli interventi per i quali sia stata riscontrata la conferma di accettazione della preassegnazione</w:t>
      </w:r>
      <w:r w:rsidRPr="00382C81">
        <w:rPr>
          <w:rFonts w:ascii="Bookman Old Style" w:hAnsi="Bookman Old Style"/>
          <w:color w:val="000000"/>
          <w:sz w:val="22"/>
          <w:szCs w:val="22"/>
        </w:rPr>
        <w:t xml:space="preserve">. </w:t>
      </w:r>
      <w:r w:rsidR="00156153">
        <w:rPr>
          <w:rFonts w:ascii="Bookman Old Style" w:hAnsi="Bookman Old Style"/>
          <w:color w:val="000000"/>
          <w:sz w:val="22"/>
          <w:szCs w:val="22"/>
        </w:rPr>
        <w:t xml:space="preserve">Tale decreto costituisce titolo per l’assegnazione delle risorse in bilancio nonché per l’avvio delle procedure di affidamento delle opere pubbliche. </w:t>
      </w:r>
    </w:p>
    <w:p w14:paraId="23A8EC56" w14:textId="77777777" w:rsidR="00156153" w:rsidRDefault="00156153" w:rsidP="00382C81">
      <w:pPr>
        <w:autoSpaceDE w:val="0"/>
        <w:autoSpaceDN w:val="0"/>
        <w:spacing w:line="360" w:lineRule="auto"/>
        <w:jc w:val="both"/>
        <w:rPr>
          <w:rFonts w:ascii="Bookman Old Style" w:hAnsi="Bookman Old Style"/>
        </w:rPr>
      </w:pPr>
    </w:p>
    <w:p w14:paraId="5BB3E03E" w14:textId="6526FC46" w:rsidR="00382C81" w:rsidRPr="00382C81" w:rsidRDefault="00382C81" w:rsidP="00382C81">
      <w:pPr>
        <w:autoSpaceDE w:val="0"/>
        <w:autoSpaceDN w:val="0"/>
        <w:spacing w:line="360" w:lineRule="auto"/>
        <w:jc w:val="both"/>
        <w:rPr>
          <w:rFonts w:ascii="Bookman Old Style" w:hAnsi="Bookman Old Style"/>
        </w:rPr>
      </w:pPr>
      <w:r w:rsidRPr="00382C81">
        <w:rPr>
          <w:rFonts w:ascii="Bookman Old Style" w:hAnsi="Bookman Old Style"/>
        </w:rPr>
        <w:t xml:space="preserve">Si ricorda infine che Anci e Mef, su questo tema, sulle modalità e i termini di accesso al Fondo di avvio delle opere indifferibili, hanno organizzato un importante webinar che si terrà il prossimo 9 gennaio, come da allegato programma. </w:t>
      </w:r>
    </w:p>
    <w:p w14:paraId="3851417E" w14:textId="77777777" w:rsidR="00382C81" w:rsidRPr="00382C81" w:rsidRDefault="00382C81" w:rsidP="00382C81">
      <w:pPr>
        <w:autoSpaceDE w:val="0"/>
        <w:autoSpaceDN w:val="0"/>
        <w:spacing w:line="360" w:lineRule="auto"/>
        <w:jc w:val="both"/>
        <w:rPr>
          <w:rFonts w:ascii="Bookman Old Style" w:hAnsi="Bookman Old Style"/>
        </w:rPr>
      </w:pPr>
    </w:p>
    <w:sectPr w:rsidR="00382C81" w:rsidRPr="00382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C7"/>
    <w:rsid w:val="00156153"/>
    <w:rsid w:val="002938F0"/>
    <w:rsid w:val="00336130"/>
    <w:rsid w:val="00382C81"/>
    <w:rsid w:val="00423608"/>
    <w:rsid w:val="005E05F9"/>
    <w:rsid w:val="005E14C7"/>
    <w:rsid w:val="00666988"/>
    <w:rsid w:val="006C00D7"/>
    <w:rsid w:val="00AD6CED"/>
    <w:rsid w:val="00B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EFA"/>
  <w15:chartTrackingRefBased/>
  <w15:docId w15:val="{81BC7924-728E-4B52-8E87-E921AC4A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1">
    <w:name w:val="provv_r01"/>
    <w:basedOn w:val="Normale"/>
    <w:rsid w:val="005E14C7"/>
    <w:pPr>
      <w:spacing w:before="100" w:beforeAutospacing="1" w:after="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Dota</dc:creator>
  <cp:keywords/>
  <dc:description/>
  <cp:lastModifiedBy>Stefania Dota</cp:lastModifiedBy>
  <cp:revision>1</cp:revision>
  <dcterms:created xsi:type="dcterms:W3CDTF">2023-01-02T12:22:00Z</dcterms:created>
  <dcterms:modified xsi:type="dcterms:W3CDTF">2023-01-02T13:42:00Z</dcterms:modified>
</cp:coreProperties>
</file>